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017379"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07.09</w:t>
      </w:r>
      <w:r w:rsidR="00881459">
        <w:rPr>
          <w:rFonts w:asciiTheme="minorHAnsi" w:hAnsiTheme="minorHAnsi"/>
          <w:b w:val="0"/>
          <w:bCs w:val="0"/>
          <w:sz w:val="20"/>
        </w:rPr>
        <w:t>.2016</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r w:rsidRPr="00A217F4">
        <w:rPr>
          <w:rFonts w:asciiTheme="minorHAnsi" w:hAnsiTheme="minorHAnsi" w:cs="Arial"/>
          <w:b w:val="0"/>
          <w:bCs w:val="0"/>
          <w:sz w:val="22"/>
          <w:szCs w:val="22"/>
        </w:rPr>
        <w:t xml:space="preserve"> </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14:anchorId="60798EDB" wp14:editId="326A5B19">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FB796D" w:rsidRPr="00A217F4" w:rsidRDefault="00FB796D" w:rsidP="00BC1378">
      <w:pPr>
        <w:pStyle w:val="Tekstpodstawowy2"/>
        <w:tabs>
          <w:tab w:val="left" w:pos="7560"/>
        </w:tabs>
        <w:spacing w:line="276" w:lineRule="auto"/>
        <w:rPr>
          <w:rFonts w:asciiTheme="minorHAnsi" w:hAnsiTheme="minorHAnsi"/>
          <w:b/>
          <w:bCs/>
        </w:rPr>
      </w:pPr>
      <w:r>
        <w:rPr>
          <w:rFonts w:asciiTheme="minorHAnsi" w:hAnsiTheme="minorHAnsi"/>
          <w:b/>
          <w:bCs/>
        </w:rPr>
        <w:t>Konrad Akowacz</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FB796D">
        <w:rPr>
          <w:rFonts w:asciiTheme="minorHAnsi" w:hAnsiTheme="minorHAnsi"/>
        </w:rPr>
        <w:t>511 057</w:t>
      </w:r>
      <w:r w:rsidR="00BE15EA" w:rsidRPr="00A217F4">
        <w:rPr>
          <w:rFonts w:asciiTheme="minorHAnsi" w:hAnsiTheme="minorHAnsi"/>
        </w:rPr>
        <w:t> </w:t>
      </w:r>
      <w:r w:rsidR="00FB796D">
        <w:rPr>
          <w:rFonts w:asciiTheme="minorHAnsi" w:hAnsiTheme="minorHAnsi"/>
        </w:rPr>
        <w:t>700</w:t>
      </w:r>
    </w:p>
    <w:p w:rsidR="006D03DA" w:rsidRDefault="0005774B"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r w:rsidR="006D03DA" w:rsidRPr="00A217F4">
        <w:rPr>
          <w:rFonts w:asciiTheme="minorHAnsi" w:hAnsiTheme="minorHAnsi" w:cs="Arial"/>
          <w:b w:val="0"/>
          <w:color w:val="000080"/>
          <w:sz w:val="20"/>
        </w:rPr>
        <w:t xml:space="preserve"> </w:t>
      </w:r>
    </w:p>
    <w:p w:rsidR="00681531"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681531" w:rsidRPr="00A217F4"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017379" w:rsidRPr="00017379" w:rsidRDefault="00017379" w:rsidP="00017379">
      <w:pPr>
        <w:jc w:val="center"/>
        <w:rPr>
          <w:rFonts w:asciiTheme="minorHAnsi" w:hAnsiTheme="minorHAnsi"/>
          <w:caps/>
          <w:color w:val="1F497D" w:themeColor="text2"/>
          <w:sz w:val="36"/>
          <w:szCs w:val="40"/>
        </w:rPr>
      </w:pPr>
      <w:r w:rsidRPr="00017379">
        <w:rPr>
          <w:rFonts w:asciiTheme="minorHAnsi" w:hAnsiTheme="minorHAnsi"/>
          <w:caps/>
          <w:color w:val="1F497D" w:themeColor="text2"/>
          <w:sz w:val="36"/>
          <w:szCs w:val="40"/>
        </w:rPr>
        <w:t>wynagrodzenia członków rad nadzorczych- Kto płaci najwięcej, a kto najmniej?</w:t>
      </w:r>
    </w:p>
    <w:p w:rsidR="00017379" w:rsidRPr="00017379" w:rsidRDefault="00017379" w:rsidP="00017379">
      <w:pPr>
        <w:jc w:val="center"/>
        <w:rPr>
          <w:rFonts w:asciiTheme="minorHAnsi" w:hAnsiTheme="minorHAnsi"/>
        </w:rPr>
      </w:pPr>
    </w:p>
    <w:p w:rsidR="00017379" w:rsidRPr="00017379" w:rsidRDefault="00017379" w:rsidP="00017379">
      <w:pPr>
        <w:jc w:val="center"/>
        <w:rPr>
          <w:rFonts w:asciiTheme="minorHAnsi" w:hAnsiTheme="minorHAnsi"/>
        </w:rPr>
      </w:pPr>
    </w:p>
    <w:p w:rsidR="00017379" w:rsidRPr="00017379" w:rsidRDefault="00017379" w:rsidP="00017379">
      <w:pPr>
        <w:jc w:val="both"/>
        <w:rPr>
          <w:rFonts w:asciiTheme="minorHAnsi" w:hAnsiTheme="minorHAnsi"/>
        </w:rPr>
      </w:pPr>
      <w:r w:rsidRPr="00017379">
        <w:rPr>
          <w:rFonts w:asciiTheme="minorHAnsi" w:hAnsiTheme="minorHAnsi"/>
        </w:rPr>
        <w:t>Większość publikacji, w których analizowane są stawki płac członków rad nadzorczych, koncentruje się na kwotach najwyższych wynagrodzeń. Często pomijane są osoby, które w ogóle nie pobierają wynag</w:t>
      </w:r>
      <w:r w:rsidR="0005774B">
        <w:rPr>
          <w:rFonts w:asciiTheme="minorHAnsi" w:hAnsiTheme="minorHAnsi"/>
        </w:rPr>
        <w:t>rodzenia za pełnienie funkcji w </w:t>
      </w:r>
      <w:r w:rsidRPr="00017379">
        <w:rPr>
          <w:rFonts w:asciiTheme="minorHAnsi" w:hAnsiTheme="minorHAnsi"/>
        </w:rPr>
        <w:t>radach nadzorczych, lub zarabiają znacząco mniej niż płaci rynek. W poniższym artykule przyjrzymy się zarobkom właśnie tych osób.</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p>
    <w:p w:rsidR="00017379" w:rsidRPr="00017379" w:rsidRDefault="00017379" w:rsidP="00017379">
      <w:pPr>
        <w:jc w:val="center"/>
        <w:rPr>
          <w:rFonts w:asciiTheme="minorHAnsi" w:hAnsiTheme="minorHAnsi"/>
          <w:b/>
          <w:color w:val="1F497D" w:themeColor="text2"/>
        </w:rPr>
      </w:pPr>
      <w:r w:rsidRPr="00017379">
        <w:rPr>
          <w:rFonts w:asciiTheme="minorHAnsi" w:hAnsiTheme="minorHAnsi"/>
          <w:b/>
          <w:color w:val="1F497D" w:themeColor="text2"/>
        </w:rPr>
        <w:t xml:space="preserve">Wykres 1. Rozkład rocznych wynagrodzeń członków rad nadzorczych w 2015 roku </w:t>
      </w:r>
      <w:r w:rsidRPr="00017379">
        <w:rPr>
          <w:rFonts w:asciiTheme="minorHAnsi" w:hAnsiTheme="minorHAnsi"/>
          <w:b/>
          <w:color w:val="1F497D" w:themeColor="text2"/>
        </w:rPr>
        <w:br/>
        <w:t>(osoby, które przepracowały cały rok)</w:t>
      </w:r>
    </w:p>
    <w:p w:rsidR="00017379" w:rsidRPr="00017379" w:rsidRDefault="00017379" w:rsidP="00017379">
      <w:pPr>
        <w:jc w:val="center"/>
        <w:rPr>
          <w:rFonts w:asciiTheme="minorHAnsi" w:hAnsiTheme="minorHAnsi"/>
          <w:b/>
          <w:color w:val="1F497D" w:themeColor="text2"/>
        </w:rPr>
      </w:pPr>
      <w:r w:rsidRPr="00017379">
        <w:rPr>
          <w:rFonts w:asciiTheme="minorHAnsi" w:hAnsiTheme="minorHAnsi"/>
          <w:noProof/>
          <w:lang w:eastAsia="pl-PL"/>
        </w:rPr>
        <w:drawing>
          <wp:inline distT="0" distB="0" distL="0" distR="0" wp14:anchorId="6AA8E714" wp14:editId="6CB5D70F">
            <wp:extent cx="5429883" cy="3726784"/>
            <wp:effectExtent l="0" t="0" r="0" b="762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7379" w:rsidRPr="00017379" w:rsidRDefault="00017379" w:rsidP="00017379">
      <w:pPr>
        <w:jc w:val="center"/>
        <w:rPr>
          <w:rFonts w:asciiTheme="minorHAnsi" w:hAnsiTheme="minorHAnsi"/>
          <w:i/>
          <w:sz w:val="20"/>
        </w:rPr>
      </w:pPr>
      <w:r w:rsidRPr="00017379">
        <w:rPr>
          <w:rFonts w:asciiTheme="minorHAnsi" w:hAnsiTheme="minorHAnsi"/>
          <w:i/>
          <w:sz w:val="20"/>
        </w:rPr>
        <w:t xml:space="preserve">Źródło: Raport Sedlak </w:t>
      </w:r>
      <w:r w:rsidRPr="00017379">
        <w:rPr>
          <w:rFonts w:asciiTheme="minorHAnsi" w:hAnsiTheme="minorHAnsi"/>
          <w:i/>
          <w:sz w:val="16"/>
        </w:rPr>
        <w:t>&amp;</w:t>
      </w:r>
      <w:r w:rsidRPr="00017379">
        <w:rPr>
          <w:rFonts w:asciiTheme="minorHAnsi" w:hAnsiTheme="minorHAnsi"/>
          <w:i/>
          <w:sz w:val="20"/>
        </w:rPr>
        <w:t xml:space="preserve"> Sedlak „Wynagrodzenia członków rad nadzorczych w 2015 roku”</w:t>
      </w:r>
    </w:p>
    <w:p w:rsidR="00017379" w:rsidRPr="00017379" w:rsidRDefault="00017379" w:rsidP="00017379">
      <w:pPr>
        <w:jc w:val="both"/>
        <w:rPr>
          <w:rFonts w:asciiTheme="minorHAnsi" w:hAnsiTheme="minorHAnsi"/>
          <w:b/>
          <w:color w:val="1F497D" w:themeColor="text2"/>
        </w:rPr>
      </w:pPr>
    </w:p>
    <w:p w:rsidR="00017379" w:rsidRPr="00017379" w:rsidRDefault="00017379" w:rsidP="00017379">
      <w:pPr>
        <w:jc w:val="both"/>
        <w:rPr>
          <w:rFonts w:asciiTheme="minorHAnsi" w:hAnsiTheme="minorHAnsi"/>
          <w:b/>
          <w:color w:val="1F497D" w:themeColor="text2"/>
          <w:sz w:val="26"/>
          <w:szCs w:val="26"/>
        </w:rPr>
      </w:pPr>
      <w:r w:rsidRPr="00017379">
        <w:rPr>
          <w:rFonts w:asciiTheme="minorHAnsi" w:hAnsiTheme="minorHAnsi"/>
          <w:b/>
          <w:color w:val="1F497D" w:themeColor="text2"/>
          <w:sz w:val="26"/>
          <w:szCs w:val="26"/>
        </w:rPr>
        <w:t>Kto płaci najmniej?</w:t>
      </w:r>
    </w:p>
    <w:p w:rsidR="00017379" w:rsidRPr="00017379" w:rsidRDefault="00017379" w:rsidP="00017379">
      <w:pPr>
        <w:jc w:val="both"/>
        <w:rPr>
          <w:rFonts w:asciiTheme="minorHAnsi" w:hAnsiTheme="minorHAnsi"/>
        </w:rPr>
      </w:pPr>
      <w:r w:rsidRPr="00017379">
        <w:rPr>
          <w:rFonts w:asciiTheme="minorHAnsi" w:hAnsiTheme="minorHAnsi"/>
        </w:rPr>
        <w:t>Mediana rocznych wynagrodzeń osób pełniących</w:t>
      </w:r>
      <w:r w:rsidR="0005774B">
        <w:rPr>
          <w:rFonts w:asciiTheme="minorHAnsi" w:hAnsiTheme="minorHAnsi"/>
        </w:rPr>
        <w:t xml:space="preserve"> funkcje w radach nadzorczych w </w:t>
      </w:r>
      <w:r w:rsidRPr="00017379">
        <w:rPr>
          <w:rFonts w:asciiTheme="minorHAnsi" w:hAnsiTheme="minorHAnsi"/>
        </w:rPr>
        <w:t>2015 roku wśród osób, które przepracowały cały rok, wyniosła 45 000 PLN. My</w:t>
      </w:r>
      <w:r w:rsidR="0005774B">
        <w:rPr>
          <w:rFonts w:asciiTheme="minorHAnsi" w:hAnsiTheme="minorHAnsi"/>
        </w:rPr>
        <w:t> </w:t>
      </w:r>
      <w:r w:rsidRPr="00017379">
        <w:rPr>
          <w:rFonts w:asciiTheme="minorHAnsi" w:hAnsiTheme="minorHAnsi"/>
        </w:rPr>
        <w:t>postanowiliśmy przyjrzeć się osobom, które pomimo przepracowania pełnego roku otrzymały wynagrodzenie nie większe niż 10 000 PLN. Osób takich było ponad 240 (co stanowi 16,4% próby).</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r w:rsidRPr="00017379">
        <w:rPr>
          <w:rFonts w:asciiTheme="minorHAnsi" w:hAnsiTheme="minorHAnsi"/>
        </w:rPr>
        <w:t>Na podstawie bazy danych wynagrodzeń członków rad nadzorczych w 2015 roku ciężko przedstawić jednoznaczne wnioski, co decyduje o niskich wynagrodzeniach. Analizując wynagrodzenia na poziomie poszczególnych spółek wyróżnić można 7</w:t>
      </w:r>
      <w:r w:rsidR="0005774B">
        <w:rPr>
          <w:rFonts w:asciiTheme="minorHAnsi" w:hAnsiTheme="minorHAnsi"/>
        </w:rPr>
        <w:t>7 </w:t>
      </w:r>
      <w:r w:rsidRPr="00017379">
        <w:rPr>
          <w:rFonts w:asciiTheme="minorHAnsi" w:hAnsiTheme="minorHAnsi"/>
        </w:rPr>
        <w:t>firm (z 366 uwzględnionych w badaniu, czyli 21 % próby), w których pojawiły się osoby, które w 2015 roku zarobiły poniżej 10 000 PLN. Uzasadnienie takich wynagrodzeń, jakie nasuwa się w pierwszej kolejności, to wielkość przedsiębiorstw. Osoby nadzorujące otrzymujące niskie wynagrodzenia pracowały  w niewielkich spółkach. Średnia wartość przychodów za 2015 rok w omawianej grupie przedsiębiorstw wyniosła 236,4 mln PLN. W całości próby badania średnia ta wyniosła 1,6 mld PLN. Wynagrodzenia członków rad nadzorczych poniżej 10 000 PLN najczęściej dotyczyły takich branż jak: usługi (13 spółek), informatyka (9 spółek), czy finanse (6 spółek). Ponownie należy zaznaczyć, iż były to w większości niewielkie spółki. Odpowiednio średnia przychodów dla branży usług (po wyłączeniu spółki Work Service SA, gdzie tylko jedna osoba otrzymała wynagrodzenie poniżej 10 000 PLN) wyniosła 100,7 mln PLN, dla informatyki 81,9 mln PLN, a dla finansów 193,1 mln PLN.</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r w:rsidRPr="00017379">
        <w:rPr>
          <w:rFonts w:asciiTheme="minorHAnsi" w:hAnsiTheme="minorHAnsi"/>
        </w:rPr>
        <w:t xml:space="preserve">Warto dodać, że w przypadku członków rad nadzorczych, </w:t>
      </w:r>
      <w:r w:rsidR="0005774B">
        <w:rPr>
          <w:rFonts w:asciiTheme="minorHAnsi" w:hAnsiTheme="minorHAnsi"/>
        </w:rPr>
        <w:t>branża usługowa i </w:t>
      </w:r>
      <w:r w:rsidRPr="00017379">
        <w:rPr>
          <w:rFonts w:asciiTheme="minorHAnsi" w:hAnsiTheme="minorHAnsi"/>
        </w:rPr>
        <w:t>finansów, to dwie najgorzej opłacane branże na GPW. Trzecią najgorzej opłacaną branżą były media. Wśród spółek medialnych w pięciu z nich pojawili się członkowie rad nadzorczych, którzy otrzymali wynagrodzenia poniżej 10 000 PLN za cały 2015 rok. Średnia przychodów w omawianej branży wyniosła 49,5 mln PLN.</w:t>
      </w:r>
    </w:p>
    <w:p w:rsidR="00017379" w:rsidRDefault="00017379">
      <w:pPr>
        <w:rPr>
          <w:rFonts w:asciiTheme="minorHAnsi" w:hAnsiTheme="minorHAnsi"/>
        </w:rPr>
      </w:pPr>
      <w:r>
        <w:rPr>
          <w:rFonts w:asciiTheme="minorHAnsi" w:hAnsiTheme="minorHAnsi"/>
        </w:rPr>
        <w:br w:type="page"/>
      </w:r>
    </w:p>
    <w:p w:rsidR="00017379" w:rsidRPr="00017379" w:rsidRDefault="00017379" w:rsidP="00017379">
      <w:pPr>
        <w:jc w:val="center"/>
        <w:rPr>
          <w:rFonts w:asciiTheme="minorHAnsi" w:hAnsiTheme="minorHAnsi"/>
          <w:b/>
          <w:color w:val="1F497D" w:themeColor="text2"/>
        </w:rPr>
      </w:pPr>
      <w:r w:rsidRPr="00017379">
        <w:rPr>
          <w:rFonts w:asciiTheme="minorHAnsi" w:hAnsiTheme="minorHAnsi"/>
          <w:b/>
          <w:color w:val="1F497D" w:themeColor="text2"/>
        </w:rPr>
        <w:lastRenderedPageBreak/>
        <w:t xml:space="preserve">Wykres 2. Branże, które płaciły najmniej członkom rad nadzorczych </w:t>
      </w:r>
      <w:r w:rsidRPr="00017379">
        <w:rPr>
          <w:rFonts w:asciiTheme="minorHAnsi" w:hAnsiTheme="minorHAnsi"/>
          <w:b/>
          <w:color w:val="1F497D" w:themeColor="text2"/>
        </w:rPr>
        <w:br/>
        <w:t>(mediany rocznych wynagrodzeń członków rad nadzorczych w 2015 roku)</w:t>
      </w:r>
    </w:p>
    <w:p w:rsidR="00017379" w:rsidRPr="00017379" w:rsidRDefault="00017379" w:rsidP="00017379">
      <w:pPr>
        <w:jc w:val="both"/>
        <w:rPr>
          <w:rFonts w:asciiTheme="minorHAnsi" w:hAnsiTheme="minorHAnsi"/>
        </w:rPr>
      </w:pPr>
      <w:r w:rsidRPr="00017379">
        <w:rPr>
          <w:rFonts w:asciiTheme="minorHAnsi" w:hAnsiTheme="minorHAnsi"/>
          <w:noProof/>
          <w:lang w:eastAsia="pl-PL"/>
        </w:rPr>
        <w:drawing>
          <wp:inline distT="0" distB="0" distL="0" distR="0" wp14:anchorId="170850C4" wp14:editId="350F1B7D">
            <wp:extent cx="5486400" cy="3200400"/>
            <wp:effectExtent l="0" t="0" r="0" b="190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17379" w:rsidRDefault="00017379" w:rsidP="00017379">
      <w:pPr>
        <w:jc w:val="center"/>
        <w:rPr>
          <w:rFonts w:asciiTheme="minorHAnsi" w:hAnsiTheme="minorHAnsi"/>
          <w:i/>
          <w:sz w:val="20"/>
        </w:rPr>
      </w:pPr>
      <w:r w:rsidRPr="00017379">
        <w:rPr>
          <w:rFonts w:asciiTheme="minorHAnsi" w:hAnsiTheme="minorHAnsi"/>
          <w:i/>
          <w:sz w:val="20"/>
        </w:rPr>
        <w:t xml:space="preserve">Źródło: Raport Sedlak </w:t>
      </w:r>
      <w:r w:rsidRPr="00017379">
        <w:rPr>
          <w:rFonts w:asciiTheme="minorHAnsi" w:hAnsiTheme="minorHAnsi"/>
          <w:i/>
          <w:sz w:val="16"/>
        </w:rPr>
        <w:t>&amp;</w:t>
      </w:r>
      <w:r w:rsidRPr="00017379">
        <w:rPr>
          <w:rFonts w:asciiTheme="minorHAnsi" w:hAnsiTheme="minorHAnsi"/>
          <w:i/>
          <w:sz w:val="20"/>
        </w:rPr>
        <w:t xml:space="preserve"> Sedlak „Wynagrodzenia członków rad nadzorczych w 2015 roku”</w:t>
      </w:r>
    </w:p>
    <w:p w:rsidR="00017379" w:rsidRPr="00017379" w:rsidRDefault="00017379" w:rsidP="00017379">
      <w:pPr>
        <w:jc w:val="center"/>
        <w:rPr>
          <w:rFonts w:asciiTheme="minorHAnsi" w:hAnsiTheme="minorHAnsi"/>
          <w:sz w:val="20"/>
        </w:rPr>
      </w:pPr>
    </w:p>
    <w:p w:rsidR="00017379" w:rsidRPr="00017379" w:rsidRDefault="00017379" w:rsidP="00017379">
      <w:pPr>
        <w:jc w:val="center"/>
        <w:rPr>
          <w:rFonts w:asciiTheme="minorHAnsi" w:hAnsiTheme="minorHAnsi"/>
        </w:rPr>
      </w:pPr>
    </w:p>
    <w:p w:rsidR="00017379" w:rsidRPr="00017379" w:rsidRDefault="00017379" w:rsidP="00017379">
      <w:pPr>
        <w:jc w:val="both"/>
        <w:rPr>
          <w:rFonts w:asciiTheme="minorHAnsi" w:hAnsiTheme="minorHAnsi"/>
          <w:b/>
          <w:color w:val="1F497D" w:themeColor="text2"/>
          <w:sz w:val="26"/>
          <w:szCs w:val="26"/>
        </w:rPr>
      </w:pPr>
      <w:r w:rsidRPr="00017379">
        <w:rPr>
          <w:rFonts w:asciiTheme="minorHAnsi" w:hAnsiTheme="minorHAnsi"/>
          <w:b/>
          <w:color w:val="1F497D" w:themeColor="text2"/>
          <w:sz w:val="26"/>
          <w:szCs w:val="26"/>
        </w:rPr>
        <w:t>Kto nie płaci za nadzór?</w:t>
      </w:r>
    </w:p>
    <w:p w:rsidR="00017379" w:rsidRPr="00017379" w:rsidRDefault="00017379" w:rsidP="00017379">
      <w:pPr>
        <w:jc w:val="both"/>
        <w:rPr>
          <w:rFonts w:asciiTheme="minorHAnsi" w:hAnsiTheme="minorHAnsi"/>
        </w:rPr>
      </w:pPr>
      <w:r w:rsidRPr="00017379">
        <w:rPr>
          <w:rFonts w:asciiTheme="minorHAnsi" w:hAnsiTheme="minorHAnsi"/>
        </w:rPr>
        <w:t>Na wykresie pierwszym nie uwzględniono osób, które w 2015 roku nie otrzymały wynagrodzenia za pełnienie nadzoru w spółkach. Osób takich było 128. Wśród nich sporą grupę stanowiły osoby pełniące funkcję w zagranicznych podmiotach kontrolujących, oddelegowane do sprawowania nadzoru nad polskimi podmiotami zależnymi. Osoby te zazwyczaj otrzymują wynagrodzenie w „spółkach-matkach”. Dobrymi przykładami takiej praktyki są takie firmy, jak np. Orange SA, GTC SA, czy bank PEKAO SA. Wśród osób nie pobierających wynag</w:t>
      </w:r>
      <w:r w:rsidR="0005774B">
        <w:rPr>
          <w:rFonts w:asciiTheme="minorHAnsi" w:hAnsiTheme="minorHAnsi"/>
        </w:rPr>
        <w:t>rodzenia za pełnienie funkcji w </w:t>
      </w:r>
      <w:r w:rsidRPr="00017379">
        <w:rPr>
          <w:rFonts w:asciiTheme="minorHAnsi" w:hAnsiTheme="minorHAnsi"/>
        </w:rPr>
        <w:t xml:space="preserve">radach nadzorczych spotykamy także założycieli spółek, jak np. Józef Wojciechowski – założyciel J.W. Construction Holding SA., czy Leszek Czarnecki (który nie pobierał w 2015 roku wynagrodzenia w LC Corp SA, jednak ponad 1 mln PLN otrzymał w spółce Getin Holding SA). Często wynagrodzenia nie pobierają także osoby pełniące funkcje zarządzające lub zasiadające w radach nadzorczych innych spółek, należących do jednej grupy kapitałowej lub jednego właściciela. </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r w:rsidRPr="00017379">
        <w:rPr>
          <w:rFonts w:asciiTheme="minorHAnsi" w:hAnsiTheme="minorHAnsi"/>
        </w:rPr>
        <w:t>W 2015 roku następujące 13 spółek w ogóle nie wypłacało wynagrodzeń członkom rady nadzorczej: Mostostal Płock SA, Fast Finance SA, B3System SA, Trans Polonia SA, IAlbatros Group SA, MNI SA, CFI Holding SA, Comperia.pl SA, Petrolinvest SA, IBSM SA, Regnon SA, Drewex SA, B.A.C.D. SA. Wymienione s</w:t>
      </w:r>
      <w:r w:rsidR="0005774B">
        <w:rPr>
          <w:rFonts w:asciiTheme="minorHAnsi" w:hAnsiTheme="minorHAnsi"/>
        </w:rPr>
        <w:t>półki niestety nie opisują w </w:t>
      </w:r>
      <w:r w:rsidRPr="00017379">
        <w:rPr>
          <w:rFonts w:asciiTheme="minorHAnsi" w:hAnsiTheme="minorHAnsi"/>
        </w:rPr>
        <w:t xml:space="preserve">swoich sprawozdaniach dlaczego stosują taką praktykę. Należy jednak podkreślić, że </w:t>
      </w:r>
      <w:r w:rsidRPr="00017379">
        <w:rPr>
          <w:rFonts w:asciiTheme="minorHAnsi" w:hAnsiTheme="minorHAnsi"/>
        </w:rPr>
        <w:lastRenderedPageBreak/>
        <w:t>były to przedsiębiorstwa w większości niewielkie – średnia przychodów w badanej grupie wyniosła 55,5 mln PLN.</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sz w:val="26"/>
          <w:szCs w:val="26"/>
        </w:rPr>
      </w:pPr>
    </w:p>
    <w:p w:rsidR="00017379" w:rsidRPr="00017379" w:rsidRDefault="00017379" w:rsidP="00017379">
      <w:pPr>
        <w:jc w:val="both"/>
        <w:rPr>
          <w:rFonts w:asciiTheme="minorHAnsi" w:hAnsiTheme="minorHAnsi"/>
          <w:color w:val="1F497D" w:themeColor="text2"/>
        </w:rPr>
      </w:pPr>
      <w:r w:rsidRPr="00017379">
        <w:rPr>
          <w:rFonts w:asciiTheme="minorHAnsi" w:hAnsiTheme="minorHAnsi"/>
          <w:b/>
          <w:color w:val="1F497D" w:themeColor="text2"/>
          <w:sz w:val="26"/>
          <w:szCs w:val="26"/>
        </w:rPr>
        <w:t>Kto płaci najwięcej?</w:t>
      </w:r>
    </w:p>
    <w:p w:rsidR="00017379" w:rsidRPr="00017379" w:rsidRDefault="00017379" w:rsidP="00017379">
      <w:pPr>
        <w:jc w:val="both"/>
        <w:rPr>
          <w:rFonts w:asciiTheme="minorHAnsi" w:hAnsiTheme="minorHAnsi"/>
        </w:rPr>
      </w:pPr>
      <w:r w:rsidRPr="00017379">
        <w:rPr>
          <w:rFonts w:asciiTheme="minorHAnsi" w:hAnsiTheme="minorHAnsi"/>
        </w:rPr>
        <w:t>Powyżej 200 000 PLN zarobiło w ciągu całego 2015 roku 126 członków rad nadzorczych, czyli 8,6% badanych osób. Osoby otrzymujące wynagrodzenia powyżej wymienionej kwoty pojawiły w 65 spółkach (17,8%  próby badania). Najczęściej pracowały one w bankach, branży handlu hurtowego i przemysłu elektromaszynowego (dla każdej branży po 8 spółek)</w:t>
      </w:r>
      <w:r w:rsidR="0005774B">
        <w:rPr>
          <w:rFonts w:asciiTheme="minorHAnsi" w:hAnsiTheme="minorHAnsi"/>
        </w:rPr>
        <w:t>. Należy jednak zaznaczyć, że o </w:t>
      </w:r>
      <w:r w:rsidRPr="00017379">
        <w:rPr>
          <w:rFonts w:asciiTheme="minorHAnsi" w:hAnsiTheme="minorHAnsi"/>
        </w:rPr>
        <w:t>ile w bankach wysokie wynagrodzenia były normą wśród większości członków rady, o tyle w pozostałych wymienionych branżach były to pojedyncze przypadki.</w:t>
      </w:r>
      <w:r w:rsidR="0005774B">
        <w:rPr>
          <w:rFonts w:asciiTheme="minorHAnsi" w:hAnsiTheme="minorHAnsi"/>
        </w:rPr>
        <w:t xml:space="preserve"> Co </w:t>
      </w:r>
      <w:r w:rsidRPr="00017379">
        <w:rPr>
          <w:rFonts w:asciiTheme="minorHAnsi" w:hAnsiTheme="minorHAnsi"/>
        </w:rPr>
        <w:t>ciekawe, wśród osób, które zarobiły w 2015 roku więcej niż 200 000 PLN były aż 33 osoby, które posiadały powyżej 10% udziałów w kapitale akcyjnym (czyli 24,2% osób, które zarobiły powyżej 200 000 PLN w 2015 roku). W ogóle badanej próby były to 123 osoby, czyli 8,3%. Da się więc zauważyć znaczącą tendencję do wypłacania sobie wysokich wynagrodzeń przez osoby będące znaczącymi akcjonariuszami spółek.</w:t>
      </w: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r w:rsidRPr="00017379">
        <w:rPr>
          <w:rFonts w:asciiTheme="minorHAnsi" w:hAnsiTheme="minorHAnsi"/>
        </w:rPr>
        <w:t>Na koniec proponujemy przyjrzeć się wykresowi prezentującemu najwyższe średnie wynagrodzenia wśród członków rad nadzorczych w poszczególnych spółkach.</w:t>
      </w:r>
      <w:r w:rsidR="0005774B">
        <w:rPr>
          <w:rFonts w:asciiTheme="minorHAnsi" w:hAnsiTheme="minorHAnsi"/>
        </w:rPr>
        <w:t xml:space="preserve"> W </w:t>
      </w:r>
      <w:r w:rsidRPr="00017379">
        <w:rPr>
          <w:rFonts w:asciiTheme="minorHAnsi" w:hAnsiTheme="minorHAnsi"/>
        </w:rPr>
        <w:t xml:space="preserve">obliczeniach uwzględniliśmy tylko te spółki, które wypłaciły wynagrodzenia za cały 2015 rok przynajmniej trzem członkom rady. Pierwszą pozycję zajmuje spółka Rafako SA ze średnim wynagrodzeniem wśród członków rady nadzorczej, które wyniosło </w:t>
      </w:r>
      <w:r w:rsidR="0005774B">
        <w:rPr>
          <w:rFonts w:asciiTheme="minorHAnsi" w:hAnsiTheme="minorHAnsi"/>
        </w:rPr>
        <w:t>460 </w:t>
      </w:r>
      <w:r w:rsidRPr="00017379">
        <w:rPr>
          <w:rFonts w:asciiTheme="minorHAnsi" w:hAnsiTheme="minorHAnsi"/>
        </w:rPr>
        <w:t>200 PLN. Należy jednak zaznaczyć, że w wymienionej spółce duży wpływ na podaną wartość miało wynagrodzenie przewodniczącego rady nadzorczej, które wyniosło 1 387 000 PLN. Podobna sytuacja zachodzi w przypadku</w:t>
      </w:r>
      <w:r w:rsidR="0005774B">
        <w:rPr>
          <w:rFonts w:asciiTheme="minorHAnsi" w:hAnsiTheme="minorHAnsi"/>
        </w:rPr>
        <w:t xml:space="preserve"> Getin Holding SA i </w:t>
      </w:r>
      <w:r w:rsidRPr="00017379">
        <w:rPr>
          <w:rFonts w:asciiTheme="minorHAnsi" w:hAnsiTheme="minorHAnsi"/>
        </w:rPr>
        <w:t>PBG SA, gdzie wpływ na wysoką wartość średniego wynagrodzenia mają uposażenia pojedynczych osób. Z wysokimi wynagrodzeniami wśród wszystkich członków rady mamy do czynienia tylko w przypadku spółki Amica Wronki SA i BZWBK SA.</w:t>
      </w:r>
    </w:p>
    <w:p w:rsidR="00017379" w:rsidRDefault="00017379" w:rsidP="00017379">
      <w:pPr>
        <w:rPr>
          <w:rFonts w:asciiTheme="minorHAnsi" w:hAnsiTheme="minorHAnsi"/>
          <w:b/>
          <w:color w:val="1F497D" w:themeColor="text2"/>
        </w:rPr>
      </w:pPr>
    </w:p>
    <w:p w:rsidR="00017379" w:rsidRDefault="00017379">
      <w:pPr>
        <w:rPr>
          <w:rFonts w:asciiTheme="minorHAnsi" w:hAnsiTheme="minorHAnsi"/>
          <w:b/>
          <w:color w:val="1F497D" w:themeColor="text2"/>
        </w:rPr>
      </w:pPr>
      <w:r>
        <w:rPr>
          <w:rFonts w:asciiTheme="minorHAnsi" w:hAnsiTheme="minorHAnsi"/>
          <w:b/>
          <w:color w:val="1F497D" w:themeColor="text2"/>
        </w:rPr>
        <w:br w:type="page"/>
      </w:r>
    </w:p>
    <w:p w:rsidR="00017379" w:rsidRPr="00017379" w:rsidRDefault="00017379" w:rsidP="00017379">
      <w:pPr>
        <w:jc w:val="center"/>
        <w:rPr>
          <w:rFonts w:asciiTheme="minorHAnsi" w:hAnsiTheme="minorHAnsi"/>
          <w:b/>
          <w:color w:val="1F497D" w:themeColor="text2"/>
        </w:rPr>
      </w:pPr>
      <w:r w:rsidRPr="00017379">
        <w:rPr>
          <w:rFonts w:asciiTheme="minorHAnsi" w:hAnsiTheme="minorHAnsi"/>
          <w:b/>
          <w:color w:val="1F497D" w:themeColor="text2"/>
        </w:rPr>
        <w:lastRenderedPageBreak/>
        <w:t xml:space="preserve">Wykres 3. Spółki z najwyższym średnim wynagrodzeniem w radach nadzorczych </w:t>
      </w:r>
      <w:r w:rsidRPr="00017379">
        <w:rPr>
          <w:rFonts w:asciiTheme="minorHAnsi" w:hAnsiTheme="minorHAnsi"/>
          <w:b/>
          <w:color w:val="1F497D" w:themeColor="text2"/>
        </w:rPr>
        <w:br/>
        <w:t xml:space="preserve">w 2015 roku (spółki, które wypłaciły wynagrodzenia za cały 2015 rok </w:t>
      </w:r>
      <w:r w:rsidRPr="00017379">
        <w:rPr>
          <w:rFonts w:asciiTheme="minorHAnsi" w:hAnsiTheme="minorHAnsi"/>
          <w:b/>
          <w:color w:val="1F497D" w:themeColor="text2"/>
        </w:rPr>
        <w:br/>
        <w:t>przynajmniej trzem członkom rady nadzorczej, dane w PLN)</w:t>
      </w:r>
    </w:p>
    <w:p w:rsidR="00017379" w:rsidRPr="00017379" w:rsidRDefault="00017379" w:rsidP="00017379">
      <w:pPr>
        <w:jc w:val="both"/>
        <w:rPr>
          <w:rFonts w:asciiTheme="minorHAnsi" w:hAnsiTheme="minorHAnsi"/>
        </w:rPr>
      </w:pPr>
      <w:r w:rsidRPr="00017379">
        <w:rPr>
          <w:rFonts w:asciiTheme="minorHAnsi" w:hAnsiTheme="minorHAnsi"/>
          <w:noProof/>
          <w:shd w:val="clear" w:color="auto" w:fill="C0504D" w:themeFill="accent2"/>
          <w:lang w:eastAsia="pl-PL"/>
        </w:rPr>
        <w:drawing>
          <wp:inline distT="0" distB="0" distL="0" distR="0" wp14:anchorId="1F9E4B4D" wp14:editId="16BB87FD">
            <wp:extent cx="5486400" cy="3200400"/>
            <wp:effectExtent l="0" t="0" r="0" b="0"/>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7379" w:rsidRPr="00017379" w:rsidRDefault="00017379" w:rsidP="00017379">
      <w:pPr>
        <w:jc w:val="center"/>
        <w:rPr>
          <w:rFonts w:asciiTheme="minorHAnsi" w:hAnsiTheme="minorHAnsi"/>
          <w:i/>
          <w:sz w:val="20"/>
        </w:rPr>
      </w:pPr>
      <w:r w:rsidRPr="00017379">
        <w:rPr>
          <w:rFonts w:asciiTheme="minorHAnsi" w:hAnsiTheme="minorHAnsi"/>
          <w:i/>
          <w:sz w:val="20"/>
        </w:rPr>
        <w:t xml:space="preserve">Źródło: Raport Sedlak </w:t>
      </w:r>
      <w:r w:rsidRPr="00017379">
        <w:rPr>
          <w:rFonts w:asciiTheme="minorHAnsi" w:hAnsiTheme="minorHAnsi"/>
          <w:i/>
          <w:sz w:val="16"/>
        </w:rPr>
        <w:t>&amp;</w:t>
      </w:r>
      <w:r w:rsidRPr="00017379">
        <w:rPr>
          <w:rFonts w:asciiTheme="minorHAnsi" w:hAnsiTheme="minorHAnsi"/>
          <w:i/>
          <w:sz w:val="20"/>
        </w:rPr>
        <w:t xml:space="preserve"> Sedlak „Wynagrodzenia członków rad nadzorczych w 2015 roku”</w:t>
      </w:r>
    </w:p>
    <w:p w:rsidR="00017379" w:rsidRPr="00017379" w:rsidRDefault="00017379" w:rsidP="00017379">
      <w:pPr>
        <w:jc w:val="both"/>
        <w:rPr>
          <w:rFonts w:asciiTheme="minorHAnsi" w:hAnsiTheme="minorHAnsi"/>
          <w:b/>
          <w:color w:val="1F497D" w:themeColor="text2"/>
        </w:rPr>
      </w:pPr>
    </w:p>
    <w:p w:rsidR="00017379" w:rsidRPr="00017379" w:rsidRDefault="00017379" w:rsidP="00017379">
      <w:pPr>
        <w:jc w:val="both"/>
        <w:rPr>
          <w:rFonts w:asciiTheme="minorHAnsi" w:hAnsiTheme="minorHAnsi"/>
          <w:b/>
          <w:color w:val="1F497D" w:themeColor="text2"/>
        </w:rPr>
      </w:pPr>
    </w:p>
    <w:p w:rsidR="00017379" w:rsidRPr="00017379" w:rsidRDefault="00017379" w:rsidP="00017379">
      <w:pPr>
        <w:jc w:val="both"/>
        <w:rPr>
          <w:rFonts w:asciiTheme="minorHAnsi" w:hAnsiTheme="minorHAnsi"/>
          <w:b/>
        </w:rPr>
      </w:pPr>
      <w:r w:rsidRPr="00017379">
        <w:rPr>
          <w:rFonts w:asciiTheme="minorHAnsi" w:hAnsiTheme="minorHAnsi"/>
          <w:b/>
          <w:color w:val="1F497D" w:themeColor="text2"/>
        </w:rPr>
        <w:t>Podsumowanie</w:t>
      </w:r>
    </w:p>
    <w:p w:rsidR="00017379" w:rsidRPr="00017379" w:rsidRDefault="00017379" w:rsidP="00017379">
      <w:pPr>
        <w:jc w:val="both"/>
        <w:rPr>
          <w:rFonts w:asciiTheme="minorHAnsi" w:hAnsiTheme="minorHAnsi"/>
        </w:rPr>
      </w:pPr>
      <w:r w:rsidRPr="00017379">
        <w:rPr>
          <w:rFonts w:asciiTheme="minorHAnsi" w:hAnsiTheme="minorHAnsi"/>
        </w:rPr>
        <w:t>Większość uwagi, jaką poświęca się omawianiu wynagrodzeń w mediach dotyczy stawek wynagrodzeń osób najwięcej zarabiających. Przez to wynagrodzenia członków rad nadzorczych rzadko przykuwają uwagę. Jak widać w rozkładzie wynagrodzeń osób uwzględnionych w naszym badaniu, bardzo wysokie uposażenie otrzymuje stosunkowo niewielka cześć osób zasiadających w radach nadzorczych. Niestety sprawozdania finansowe spółek i sprawozdania zarządów z działalności nie pozwalają na jasną odpowiedź na pytanie, dlaczego część członków rad nadzorczych otrzymuje wielusettysięczne wynagrodzenia, podczas gdy z drugiej strony, wielu z nich otrzymuje uposażenia poniżej 10 000 PLN w ciągu całego roku.</w:t>
      </w:r>
    </w:p>
    <w:p w:rsid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rPr>
      </w:pPr>
    </w:p>
    <w:p w:rsidR="00017379" w:rsidRPr="00017379" w:rsidRDefault="00017379" w:rsidP="00017379">
      <w:pPr>
        <w:jc w:val="both"/>
        <w:rPr>
          <w:rFonts w:asciiTheme="minorHAnsi" w:hAnsiTheme="minorHAnsi"/>
          <w:b/>
          <w:i/>
          <w:color w:val="1F497D" w:themeColor="text2"/>
        </w:rPr>
      </w:pPr>
      <w:r w:rsidRPr="00017379">
        <w:rPr>
          <w:rFonts w:asciiTheme="minorHAnsi" w:hAnsiTheme="minorHAnsi"/>
          <w:b/>
          <w:i/>
          <w:color w:val="1F497D" w:themeColor="text2"/>
        </w:rPr>
        <w:t>Konrad Akowacz</w:t>
      </w:r>
    </w:p>
    <w:p w:rsidR="00017379" w:rsidRDefault="00017379" w:rsidP="00017379">
      <w:pPr>
        <w:jc w:val="both"/>
        <w:rPr>
          <w:rFonts w:asciiTheme="minorHAnsi" w:hAnsiTheme="minorHAnsi"/>
          <w:b/>
          <w:i/>
          <w:color w:val="1F497D" w:themeColor="text2"/>
        </w:rPr>
      </w:pPr>
      <w:r w:rsidRPr="00017379">
        <w:rPr>
          <w:rFonts w:asciiTheme="minorHAnsi" w:hAnsiTheme="minorHAnsi"/>
          <w:b/>
          <w:i/>
          <w:color w:val="1F497D" w:themeColor="text2"/>
        </w:rPr>
        <w:t>Sedlak &amp; Sedlak</w:t>
      </w:r>
    </w:p>
    <w:p w:rsidR="00017379" w:rsidRDefault="00017379">
      <w:r>
        <w:br w:type="page"/>
      </w:r>
    </w:p>
    <w:p w:rsidR="00017379" w:rsidRPr="00017379" w:rsidRDefault="00017379" w:rsidP="00017379">
      <w:pPr>
        <w:jc w:val="both"/>
        <w:rPr>
          <w:rFonts w:asciiTheme="minorHAnsi" w:hAnsiTheme="minorHAnsi"/>
          <w:b/>
          <w:color w:val="1F497D" w:themeColor="text2"/>
        </w:rPr>
      </w:pPr>
      <w:r w:rsidRPr="00017379">
        <w:rPr>
          <w:rFonts w:asciiTheme="minorHAnsi" w:hAnsiTheme="minorHAnsi"/>
          <w:b/>
          <w:color w:val="1F497D" w:themeColor="text2"/>
        </w:rPr>
        <w:lastRenderedPageBreak/>
        <w:t>O raporcie:</w:t>
      </w: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Raport składa się z siedmiu części:</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Część I to analiza wielkości funduszy wynagrodzeń przeznaczonych na wynagrodzenia członków rad nadzorczych.</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Część II przedstawia analizę wynagrodzeń ze względu na pełnioną funkcję: przewodniczącego rady nadzorczej, wiceprzewodniczącego rady nadzorczej lub członka rady nadzorczej.</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 xml:space="preserve">W części III analizowane są wynagrodzenia osób pełniących różne funkcje w radach nadzorczych w spółkach z indeksu WIG20, mWIG40, sWIG80. Ponadto w tej części uwzględniono analizy dla indeksów WIG DIV, gromadzącego spółki regularnie wypłacające dywidendy oraz RESPECT INDEX  składającego się ze spółek odpowiedzialnych społecznie. </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W części IV zaprezentowano zarobki osób zasiadających w radach nadzorczych w</w:t>
      </w:r>
      <w:r w:rsidR="0005774B">
        <w:rPr>
          <w:rFonts w:asciiTheme="minorHAnsi" w:hAnsiTheme="minorHAnsi"/>
          <w:color w:val="000000" w:themeColor="text1"/>
        </w:rPr>
        <w:t> </w:t>
      </w:r>
      <w:r w:rsidRPr="00017379">
        <w:rPr>
          <w:rFonts w:asciiTheme="minorHAnsi" w:hAnsiTheme="minorHAnsi"/>
          <w:color w:val="000000" w:themeColor="text1"/>
        </w:rPr>
        <w:t xml:space="preserve">spółkach o różnych przychodach, zysku netto, wielkości aktywów, kapitale, kapitalizacji rynkowej, </w:t>
      </w:r>
      <w:r w:rsidRPr="00017379">
        <w:rPr>
          <w:rFonts w:asciiTheme="minorHAnsi" w:hAnsiTheme="minorHAnsi"/>
          <w:i/>
          <w:color w:val="000000" w:themeColor="text1"/>
        </w:rPr>
        <w:t>free float</w:t>
      </w:r>
      <w:r w:rsidRPr="00017379">
        <w:rPr>
          <w:rFonts w:asciiTheme="minorHAnsi" w:hAnsiTheme="minorHAnsi"/>
          <w:color w:val="000000" w:themeColor="text1"/>
        </w:rPr>
        <w:t xml:space="preserve"> (ilość akcji znajdujących się w wolnym obrocie) oraz zatrudnieniu.</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W części V zestawione zostały wynagrodzenia cz</w:t>
      </w:r>
      <w:r w:rsidR="0005774B">
        <w:rPr>
          <w:rFonts w:asciiTheme="minorHAnsi" w:hAnsiTheme="minorHAnsi"/>
          <w:color w:val="000000" w:themeColor="text1"/>
        </w:rPr>
        <w:t>łonków rad nadzorczych spółek z </w:t>
      </w:r>
      <w:bookmarkStart w:id="0" w:name="_GoBack"/>
      <w:bookmarkEnd w:id="0"/>
      <w:r w:rsidRPr="00017379">
        <w:rPr>
          <w:rFonts w:asciiTheme="minorHAnsi" w:hAnsiTheme="minorHAnsi"/>
          <w:color w:val="000000" w:themeColor="text1"/>
        </w:rPr>
        <w:t>różnych branż oraz spółek Skarbu Państwa.</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color w:val="000000" w:themeColor="text1"/>
        </w:rPr>
      </w:pPr>
      <w:r w:rsidRPr="00017379">
        <w:rPr>
          <w:rFonts w:asciiTheme="minorHAnsi" w:hAnsiTheme="minorHAnsi"/>
          <w:color w:val="000000" w:themeColor="text1"/>
        </w:rPr>
        <w:t>W części VI przedstawiono informacje o funkcjonowaniu w radach nadzorczych komitetów ds. wynagrodzeń.</w:t>
      </w:r>
    </w:p>
    <w:p w:rsidR="00017379" w:rsidRPr="00017379" w:rsidRDefault="00017379" w:rsidP="00017379">
      <w:pPr>
        <w:jc w:val="both"/>
        <w:rPr>
          <w:rFonts w:asciiTheme="minorHAnsi" w:hAnsiTheme="minorHAnsi"/>
          <w:color w:val="000000" w:themeColor="text1"/>
        </w:rPr>
      </w:pPr>
    </w:p>
    <w:p w:rsidR="00017379" w:rsidRPr="00017379" w:rsidRDefault="00017379" w:rsidP="00017379">
      <w:pPr>
        <w:jc w:val="both"/>
        <w:rPr>
          <w:rFonts w:asciiTheme="minorHAnsi" w:hAnsiTheme="minorHAnsi"/>
        </w:rPr>
      </w:pPr>
      <w:r w:rsidRPr="00017379">
        <w:rPr>
          <w:rFonts w:asciiTheme="minorHAnsi" w:hAnsiTheme="minorHAnsi"/>
          <w:color w:val="000000" w:themeColor="text1"/>
        </w:rPr>
        <w:t>Część VII zawiera rankingi wynagrodzeń przewodniczących, wiceprzewodniczących i członków rad nadzorczych otrzymujących najwyższe wynagrodzenie w 2015 roku.</w:t>
      </w:r>
    </w:p>
    <w:p w:rsidR="001061D6" w:rsidRPr="00017379" w:rsidRDefault="001061D6" w:rsidP="001061D6">
      <w:pPr>
        <w:jc w:val="center"/>
        <w:rPr>
          <w:rFonts w:asciiTheme="minorHAnsi" w:hAnsiTheme="minorHAnsi"/>
        </w:rPr>
      </w:pPr>
    </w:p>
    <w:p w:rsidR="0000005A" w:rsidRPr="00017379" w:rsidRDefault="0000005A" w:rsidP="00BC1378">
      <w:pPr>
        <w:spacing w:line="276" w:lineRule="auto"/>
        <w:rPr>
          <w:rFonts w:asciiTheme="minorHAnsi" w:eastAsiaTheme="minorHAnsi" w:hAnsiTheme="minorHAnsi"/>
          <w:lang w:eastAsia="pl-PL"/>
        </w:rPr>
      </w:pPr>
    </w:p>
    <w:p w:rsidR="00C755CB" w:rsidRPr="00681531" w:rsidRDefault="002B3583" w:rsidP="00BC1378">
      <w:pPr>
        <w:pStyle w:val="aboutus"/>
        <w:spacing w:line="276" w:lineRule="auto"/>
        <w:ind w:left="0"/>
        <w:rPr>
          <w:rFonts w:asciiTheme="minorHAnsi" w:hAnsiTheme="minorHAnsi"/>
          <w:sz w:val="20"/>
          <w:szCs w:val="18"/>
        </w:rPr>
      </w:pPr>
      <w:r w:rsidRPr="00681531">
        <w:rPr>
          <w:rFonts w:asciiTheme="minorHAnsi" w:hAnsiTheme="minorHAnsi"/>
          <w:noProof/>
        </w:rPr>
        <mc:AlternateContent>
          <mc:Choice Requires="wps">
            <w:drawing>
              <wp:anchor distT="0" distB="0" distL="114300" distR="114300" simplePos="0" relativeHeight="251654144" behindDoc="0" locked="0" layoutInCell="1" allowOverlap="1" wp14:anchorId="3535AB5E" wp14:editId="66FC1475">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83E047"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14:anchorId="6FA9A823" wp14:editId="5AA44C89">
            <wp:extent cx="1619250" cy="200025"/>
            <wp:effectExtent l="0" t="0" r="0" b="0"/>
            <wp:docPr id="2" name="Obraz 2" descr="logo_wynagrodzeni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 xml:space="preserve">linku do strony </w:t>
      </w:r>
      <w:r w:rsidR="00326667">
        <w:rPr>
          <w:rFonts w:asciiTheme="minorHAnsi" w:eastAsia="Calibri" w:hAnsiTheme="minorHAnsi" w:cs="Calibri"/>
          <w:b/>
          <w:sz w:val="22"/>
          <w:lang w:eastAsia="pl-PL"/>
        </w:rPr>
        <w:t>o wynagrodzeniach menedżerów spółek giełdowych:</w:t>
      </w:r>
      <w:r w:rsidR="00070AED" w:rsidRPr="00A217F4">
        <w:rPr>
          <w:rFonts w:asciiTheme="minorHAnsi" w:eastAsia="Calibri" w:hAnsiTheme="minorHAnsi" w:cs="Calibri"/>
          <w:b/>
          <w:sz w:val="22"/>
          <w:lang w:eastAsia="pl-PL"/>
        </w:rPr>
        <w:t xml:space="preserve"> </w:t>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w:t>
      </w:r>
      <w:hyperlink r:id="rId19" w:history="1">
        <w:r w:rsidR="00326667" w:rsidRPr="008F112C">
          <w:rPr>
            <w:rStyle w:val="Hipercze"/>
          </w:rPr>
          <w:t>http://wynagrodzenia.pl/wynagrodzenia-menedzerow</w:t>
        </w:r>
      </w:hyperlink>
      <w:r w:rsidRPr="00A217F4">
        <w:rPr>
          <w:rFonts w:asciiTheme="minorHAnsi" w:eastAsia="Calibri" w:hAnsiTheme="minorHAnsi" w:cs="Calibri"/>
          <w:b/>
          <w:sz w:val="22"/>
          <w:lang w:eastAsia="pl-PL"/>
        </w:rPr>
        <w:t>)</w:t>
      </w:r>
    </w:p>
    <w:p w:rsidR="003974B4" w:rsidRPr="00326667" w:rsidRDefault="00EA72FE" w:rsidP="00326667">
      <w:pPr>
        <w:autoSpaceDE w:val="0"/>
        <w:autoSpaceDN w:val="0"/>
        <w:adjustRightInd w:val="0"/>
        <w:spacing w:before="240"/>
        <w:jc w:val="both"/>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 czcionką nie mniejszą niż czcionka użyta w publikacji. </w:t>
      </w:r>
    </w:p>
    <w:sectPr w:rsidR="003974B4" w:rsidRPr="00326667" w:rsidSect="00E107E8">
      <w:headerReference w:type="default" r:id="rId20"/>
      <w:footerReference w:type="default" r:id="rId21"/>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62A" w:rsidRDefault="0007162A">
      <w:r>
        <w:separator/>
      </w:r>
    </w:p>
  </w:endnote>
  <w:endnote w:type="continuationSeparator" w:id="0">
    <w:p w:rsidR="0007162A" w:rsidRDefault="0007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35B49533" wp14:editId="6BCC922D">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B3DE82"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62A" w:rsidRDefault="0007162A">
      <w:r>
        <w:separator/>
      </w:r>
    </w:p>
  </w:footnote>
  <w:footnote w:type="continuationSeparator" w:id="0">
    <w:p w:rsidR="0007162A" w:rsidRDefault="00071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14:anchorId="4D237895" wp14:editId="64D5CCB6">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791B4120" wp14:editId="259E4EC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474198"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hyphenationZone w:val="425"/>
  <w:characterSpacingControl w:val="doNotCompress"/>
  <w:hdrShapeDefaults>
    <o:shapedefaults v:ext="edit" spidmax="161793"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5774B"/>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85D8E"/>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E51D1"/>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1793" strokecolor="#54628d">
      <v:stroke color="#54628d" weight="1.5pt"/>
      <o:colormru v:ext="edit" colors="#e2aa1e"/>
    </o:shapedefaults>
    <o:shapelayout v:ext="edit">
      <o:idmap v:ext="edit" data="1"/>
    </o:shapelayout>
  </w:shapeDefaults>
  <w:decimalSymbol w:val=","/>
  <w:listSeparator w:val=";"/>
  <w15:docId w15:val="{76EC3185-684F-4078-BC04-A63CE43F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wynagrodzenia.pl/wynagrodzenia-menedzerow"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diagramColors" Target="diagrams/colors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assrvdc03\dyskiuzytkownikow\kakowacz\Akowacz\Artyku&#322;y%20moje\rady2\RN2016.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2"/>
            </a:solidFill>
            <a:ln>
              <a:solidFill>
                <a:schemeClr val="tx1"/>
              </a:solidFill>
            </a:ln>
          </c:spPr>
          <c:invertIfNegative val="0"/>
          <c:cat>
            <c:strRef>
              <c:f>'wykres rozkładu'!$A$1:$A$40</c:f>
              <c:strCache>
                <c:ptCount val="40"/>
                <c:pt idx="0">
                  <c:v> 10 000    </c:v>
                </c:pt>
                <c:pt idx="1">
                  <c:v> 20 000    </c:v>
                </c:pt>
                <c:pt idx="2">
                  <c:v> 30 000    </c:v>
                </c:pt>
                <c:pt idx="3">
                  <c:v> 40 000    </c:v>
                </c:pt>
                <c:pt idx="4">
                  <c:v> 50 000    </c:v>
                </c:pt>
                <c:pt idx="5">
                  <c:v> 60 000    </c:v>
                </c:pt>
                <c:pt idx="6">
                  <c:v> 70 000    </c:v>
                </c:pt>
                <c:pt idx="7">
                  <c:v> 80 000    </c:v>
                </c:pt>
                <c:pt idx="8">
                  <c:v> 90 000    </c:v>
                </c:pt>
                <c:pt idx="9">
                  <c:v> 100 000    </c:v>
                </c:pt>
                <c:pt idx="10">
                  <c:v> 110 000    </c:v>
                </c:pt>
                <c:pt idx="11">
                  <c:v> 120 000    </c:v>
                </c:pt>
                <c:pt idx="12">
                  <c:v> 130 000    </c:v>
                </c:pt>
                <c:pt idx="13">
                  <c:v> 140 000    </c:v>
                </c:pt>
                <c:pt idx="14">
                  <c:v> 150 000    </c:v>
                </c:pt>
                <c:pt idx="15">
                  <c:v> 160 000    </c:v>
                </c:pt>
                <c:pt idx="16">
                  <c:v> 170 000    </c:v>
                </c:pt>
                <c:pt idx="17">
                  <c:v> 180 000    </c:v>
                </c:pt>
                <c:pt idx="18">
                  <c:v> 190 000    </c:v>
                </c:pt>
                <c:pt idx="19">
                  <c:v> 200 000    </c:v>
                </c:pt>
                <c:pt idx="20">
                  <c:v> 210 000    </c:v>
                </c:pt>
                <c:pt idx="21">
                  <c:v> 220 000    </c:v>
                </c:pt>
                <c:pt idx="22">
                  <c:v> 230 000    </c:v>
                </c:pt>
                <c:pt idx="23">
                  <c:v> 240 000    </c:v>
                </c:pt>
                <c:pt idx="24">
                  <c:v> 250 000    </c:v>
                </c:pt>
                <c:pt idx="25">
                  <c:v> 260 000    </c:v>
                </c:pt>
                <c:pt idx="26">
                  <c:v> 270 000    </c:v>
                </c:pt>
                <c:pt idx="27">
                  <c:v> 280 000    </c:v>
                </c:pt>
                <c:pt idx="28">
                  <c:v> 290 000    </c:v>
                </c:pt>
                <c:pt idx="29">
                  <c:v> 300 000    </c:v>
                </c:pt>
                <c:pt idx="30">
                  <c:v> 310 000    </c:v>
                </c:pt>
                <c:pt idx="31">
                  <c:v> 320 000    </c:v>
                </c:pt>
                <c:pt idx="32">
                  <c:v> 330 000    </c:v>
                </c:pt>
                <c:pt idx="33">
                  <c:v> 340 000    </c:v>
                </c:pt>
                <c:pt idx="34">
                  <c:v> 350 000    </c:v>
                </c:pt>
                <c:pt idx="35">
                  <c:v> 360 000    </c:v>
                </c:pt>
                <c:pt idx="36">
                  <c:v> 370 000    </c:v>
                </c:pt>
                <c:pt idx="37">
                  <c:v> 380 000    </c:v>
                </c:pt>
                <c:pt idx="38">
                  <c:v> 390 000    </c:v>
                </c:pt>
                <c:pt idx="39">
                  <c:v>&gt; 400000</c:v>
                </c:pt>
              </c:strCache>
            </c:strRef>
          </c:cat>
          <c:val>
            <c:numRef>
              <c:f>'wykres rozkładu'!$C$1:$C$40</c:f>
              <c:numCache>
                <c:formatCode>General</c:formatCode>
                <c:ptCount val="40"/>
                <c:pt idx="0">
                  <c:v>249</c:v>
                </c:pt>
                <c:pt idx="1">
                  <c:v>175</c:v>
                </c:pt>
                <c:pt idx="2">
                  <c:v>172</c:v>
                </c:pt>
                <c:pt idx="3">
                  <c:v>92</c:v>
                </c:pt>
                <c:pt idx="4">
                  <c:v>142</c:v>
                </c:pt>
                <c:pt idx="5">
                  <c:v>94</c:v>
                </c:pt>
                <c:pt idx="6">
                  <c:v>54</c:v>
                </c:pt>
                <c:pt idx="7">
                  <c:v>80</c:v>
                </c:pt>
                <c:pt idx="8">
                  <c:v>43</c:v>
                </c:pt>
                <c:pt idx="9">
                  <c:v>38</c:v>
                </c:pt>
                <c:pt idx="10">
                  <c:v>35</c:v>
                </c:pt>
                <c:pt idx="11">
                  <c:v>40</c:v>
                </c:pt>
                <c:pt idx="12">
                  <c:v>25</c:v>
                </c:pt>
                <c:pt idx="13">
                  <c:v>19</c:v>
                </c:pt>
                <c:pt idx="14">
                  <c:v>26</c:v>
                </c:pt>
                <c:pt idx="15">
                  <c:v>10</c:v>
                </c:pt>
                <c:pt idx="16">
                  <c:v>14</c:v>
                </c:pt>
                <c:pt idx="17">
                  <c:v>19</c:v>
                </c:pt>
                <c:pt idx="18">
                  <c:v>8</c:v>
                </c:pt>
                <c:pt idx="19">
                  <c:v>12</c:v>
                </c:pt>
                <c:pt idx="20">
                  <c:v>11</c:v>
                </c:pt>
                <c:pt idx="21">
                  <c:v>9</c:v>
                </c:pt>
                <c:pt idx="22">
                  <c:v>13</c:v>
                </c:pt>
                <c:pt idx="23">
                  <c:v>9</c:v>
                </c:pt>
                <c:pt idx="24">
                  <c:v>6</c:v>
                </c:pt>
                <c:pt idx="25">
                  <c:v>5</c:v>
                </c:pt>
                <c:pt idx="26">
                  <c:v>5</c:v>
                </c:pt>
                <c:pt idx="27">
                  <c:v>8</c:v>
                </c:pt>
                <c:pt idx="28">
                  <c:v>0</c:v>
                </c:pt>
                <c:pt idx="29">
                  <c:v>2</c:v>
                </c:pt>
                <c:pt idx="30">
                  <c:v>2</c:v>
                </c:pt>
                <c:pt idx="31">
                  <c:v>2</c:v>
                </c:pt>
                <c:pt idx="32">
                  <c:v>3</c:v>
                </c:pt>
                <c:pt idx="33">
                  <c:v>4</c:v>
                </c:pt>
                <c:pt idx="34">
                  <c:v>2</c:v>
                </c:pt>
                <c:pt idx="35">
                  <c:v>1</c:v>
                </c:pt>
                <c:pt idx="36">
                  <c:v>3</c:v>
                </c:pt>
                <c:pt idx="37">
                  <c:v>2</c:v>
                </c:pt>
                <c:pt idx="38">
                  <c:v>5</c:v>
                </c:pt>
                <c:pt idx="39">
                  <c:v>34</c:v>
                </c:pt>
              </c:numCache>
            </c:numRef>
          </c:val>
        </c:ser>
        <c:dLbls>
          <c:showLegendKey val="0"/>
          <c:showVal val="0"/>
          <c:showCatName val="0"/>
          <c:showSerName val="0"/>
          <c:showPercent val="0"/>
          <c:showBubbleSize val="0"/>
        </c:dLbls>
        <c:gapWidth val="0"/>
        <c:axId val="287658736"/>
        <c:axId val="294994400"/>
      </c:barChart>
      <c:catAx>
        <c:axId val="287658736"/>
        <c:scaling>
          <c:orientation val="minMax"/>
        </c:scaling>
        <c:delete val="0"/>
        <c:axPos val="b"/>
        <c:title>
          <c:tx>
            <c:rich>
              <a:bodyPr/>
              <a:lstStyle/>
              <a:p>
                <a:pPr>
                  <a:defRPr/>
                </a:pPr>
                <a:r>
                  <a:rPr lang="pl-PL"/>
                  <a:t>wynagrodzenie</a:t>
                </a:r>
                <a:r>
                  <a:rPr lang="pl-PL" baseline="0"/>
                  <a:t> za 2015 rok (w PLN)</a:t>
                </a:r>
                <a:endParaRPr lang="pl-PL"/>
              </a:p>
            </c:rich>
          </c:tx>
          <c:layout/>
          <c:overlay val="0"/>
        </c:title>
        <c:numFmt formatCode="@" sourceLinked="0"/>
        <c:majorTickMark val="none"/>
        <c:minorTickMark val="none"/>
        <c:tickLblPos val="nextTo"/>
        <c:crossAx val="294994400"/>
        <c:crosses val="autoZero"/>
        <c:auto val="1"/>
        <c:lblAlgn val="ctr"/>
        <c:lblOffset val="100"/>
        <c:noMultiLvlLbl val="0"/>
      </c:catAx>
      <c:valAx>
        <c:axId val="294994400"/>
        <c:scaling>
          <c:orientation val="minMax"/>
          <c:max val="260"/>
        </c:scaling>
        <c:delete val="0"/>
        <c:axPos val="l"/>
        <c:title>
          <c:tx>
            <c:rich>
              <a:bodyPr/>
              <a:lstStyle/>
              <a:p>
                <a:pPr>
                  <a:defRPr/>
                </a:pPr>
                <a:r>
                  <a:rPr lang="pl-PL"/>
                  <a:t>liczba osób</a:t>
                </a:r>
              </a:p>
            </c:rich>
          </c:tx>
          <c:layout/>
          <c:overlay val="0"/>
        </c:title>
        <c:numFmt formatCode="General" sourceLinked="1"/>
        <c:majorTickMark val="out"/>
        <c:minorTickMark val="none"/>
        <c:tickLblPos val="nextTo"/>
        <c:crossAx val="287658736"/>
        <c:crosses val="autoZero"/>
        <c:crossBetween val="between"/>
        <c:majorUnit val="20"/>
      </c:valAx>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tx>
            <c:strRef>
              <c:f>Arkusz1!$B$1</c:f>
              <c:strCache>
                <c:ptCount val="1"/>
                <c:pt idx="0">
                  <c:v>Seria 1</c:v>
                </c:pt>
              </c:strCache>
            </c:strRef>
          </c:tx>
          <c:invertIfNegative val="0"/>
          <c:dPt>
            <c:idx val="1"/>
            <c:invertIfNegative val="0"/>
            <c:bubble3D val="0"/>
            <c:spPr>
              <a:solidFill>
                <a:schemeClr val="accent6">
                  <a:lumMod val="75000"/>
                </a:schemeClr>
              </a:solidFill>
            </c:spPr>
          </c:dPt>
          <c:dPt>
            <c:idx val="2"/>
            <c:invertIfNegative val="0"/>
            <c:bubble3D val="0"/>
            <c:spPr>
              <a:solidFill>
                <a:schemeClr val="accent4">
                  <a:lumMod val="75000"/>
                </a:schemeClr>
              </a:solidFill>
            </c:spPr>
          </c:dPt>
          <c:dPt>
            <c:idx val="4"/>
            <c:invertIfNegative val="0"/>
            <c:bubble3D val="0"/>
            <c:spPr>
              <a:solidFill>
                <a:schemeClr val="accent6">
                  <a:lumMod val="75000"/>
                </a:schemeClr>
              </a:solidFill>
            </c:spPr>
          </c:dPt>
          <c:dLbls>
            <c:spPr>
              <a:noFill/>
              <a:ln>
                <a:noFill/>
              </a:ln>
              <a:effectLst/>
            </c:spPr>
            <c:txPr>
              <a:bodyPr/>
              <a:lstStyle/>
              <a:p>
                <a:pPr>
                  <a:defRPr sz="1200"/>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Arkusz1!$A$2:$A$6</c:f>
              <c:strCache>
                <c:ptCount val="5"/>
                <c:pt idx="0">
                  <c:v>Rafako SA</c:v>
                </c:pt>
                <c:pt idx="1">
                  <c:v>Amica Wronki SA</c:v>
                </c:pt>
                <c:pt idx="2">
                  <c:v>Getin Holding SA</c:v>
                </c:pt>
                <c:pt idx="3">
                  <c:v>BZWBK SA</c:v>
                </c:pt>
                <c:pt idx="4">
                  <c:v>PBG SA</c:v>
                </c:pt>
              </c:strCache>
            </c:strRef>
          </c:cat>
          <c:val>
            <c:numRef>
              <c:f>Arkusz1!$B$2:$B$6</c:f>
              <c:numCache>
                <c:formatCode>#,##0</c:formatCode>
                <c:ptCount val="5"/>
                <c:pt idx="0">
                  <c:v>460200</c:v>
                </c:pt>
                <c:pt idx="1">
                  <c:v>429200</c:v>
                </c:pt>
                <c:pt idx="2">
                  <c:v>394500</c:v>
                </c:pt>
                <c:pt idx="3">
                  <c:v>373743</c:v>
                </c:pt>
                <c:pt idx="4">
                  <c:v>371250</c:v>
                </c:pt>
              </c:numCache>
            </c:numRef>
          </c:val>
        </c:ser>
        <c:dLbls>
          <c:showLegendKey val="0"/>
          <c:showVal val="0"/>
          <c:showCatName val="0"/>
          <c:showSerName val="0"/>
          <c:showPercent val="0"/>
          <c:showBubbleSize val="0"/>
        </c:dLbls>
        <c:gapWidth val="150"/>
        <c:axId val="294997928"/>
        <c:axId val="294996360"/>
      </c:barChart>
      <c:catAx>
        <c:axId val="294997928"/>
        <c:scaling>
          <c:orientation val="minMax"/>
        </c:scaling>
        <c:delete val="0"/>
        <c:axPos val="b"/>
        <c:numFmt formatCode="General" sourceLinked="0"/>
        <c:majorTickMark val="out"/>
        <c:minorTickMark val="none"/>
        <c:tickLblPos val="nextTo"/>
        <c:txPr>
          <a:bodyPr/>
          <a:lstStyle/>
          <a:p>
            <a:pPr>
              <a:defRPr sz="1200" b="1"/>
            </a:pPr>
            <a:endParaRPr lang="pl-PL"/>
          </a:p>
        </c:txPr>
        <c:crossAx val="294996360"/>
        <c:crosses val="autoZero"/>
        <c:auto val="1"/>
        <c:lblAlgn val="ctr"/>
        <c:lblOffset val="100"/>
        <c:noMultiLvlLbl val="0"/>
      </c:catAx>
      <c:valAx>
        <c:axId val="294996360"/>
        <c:scaling>
          <c:orientation val="minMax"/>
        </c:scaling>
        <c:delete val="0"/>
        <c:axPos val="l"/>
        <c:numFmt formatCode="#,##0" sourceLinked="1"/>
        <c:majorTickMark val="out"/>
        <c:minorTickMark val="none"/>
        <c:tickLblPos val="nextTo"/>
        <c:crossAx val="294997928"/>
        <c:crosses val="autoZero"/>
        <c:crossBetween val="between"/>
      </c:valAx>
      <c:spPr>
        <a:ln>
          <a:noFill/>
        </a:ln>
      </c:spPr>
    </c:plotArea>
    <c:plotVisOnly val="1"/>
    <c:dispBlanksAs val="gap"/>
    <c:showDLblsOverMax val="0"/>
  </c:chart>
  <c:spPr>
    <a:ln>
      <a:noFill/>
    </a:ln>
  </c:sp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429DAC-9844-4787-8CB4-FFFADD0DA8B4}" type="doc">
      <dgm:prSet loTypeId="urn:microsoft.com/office/officeart/2009/layout/CircleArrowProcess" loCatId="process" qsTypeId="urn:microsoft.com/office/officeart/2005/8/quickstyle/simple1" qsCatId="simple" csTypeId="urn:microsoft.com/office/officeart/2005/8/colors/colorful2" csCatId="colorful" phldr="1"/>
      <dgm:spPr/>
      <dgm:t>
        <a:bodyPr/>
        <a:lstStyle/>
        <a:p>
          <a:endParaRPr lang="pl-PL"/>
        </a:p>
      </dgm:t>
    </dgm:pt>
    <dgm:pt modelId="{9BC5F427-82C6-4BB2-85AB-3209D23E1DF8}">
      <dgm:prSet phldrT="[Tekst]"/>
      <dgm:spPr/>
      <dgm:t>
        <a:bodyPr/>
        <a:lstStyle/>
        <a:p>
          <a:r>
            <a:rPr lang="pl-PL"/>
            <a:t>Media</a:t>
          </a:r>
          <a:br>
            <a:rPr lang="pl-PL"/>
          </a:br>
          <a:r>
            <a:rPr lang="pl-PL" b="1"/>
            <a:t>20 000 PLN</a:t>
          </a:r>
        </a:p>
      </dgm:t>
    </dgm:pt>
    <dgm:pt modelId="{B4CB2E9B-9D78-4A1A-ADCA-45022EEBB121}" type="parTrans" cxnId="{8022DD76-5408-4067-801F-844A1DEA0DDC}">
      <dgm:prSet/>
      <dgm:spPr/>
      <dgm:t>
        <a:bodyPr/>
        <a:lstStyle/>
        <a:p>
          <a:endParaRPr lang="pl-PL"/>
        </a:p>
      </dgm:t>
    </dgm:pt>
    <dgm:pt modelId="{3E2829C0-7B06-4143-81E3-CCD134501418}" type="sibTrans" cxnId="{8022DD76-5408-4067-801F-844A1DEA0DDC}">
      <dgm:prSet/>
      <dgm:spPr/>
      <dgm:t>
        <a:bodyPr/>
        <a:lstStyle/>
        <a:p>
          <a:endParaRPr lang="pl-PL"/>
        </a:p>
      </dgm:t>
    </dgm:pt>
    <dgm:pt modelId="{CD7BDF51-F0CC-48DD-8219-3FE4302896F4}">
      <dgm:prSet phldrT="[Tekst]"/>
      <dgm:spPr/>
      <dgm:t>
        <a:bodyPr/>
        <a:lstStyle/>
        <a:p>
          <a:r>
            <a:rPr lang="pl-PL"/>
            <a:t>Finanse </a:t>
          </a:r>
          <a:br>
            <a:rPr lang="pl-PL"/>
          </a:br>
          <a:r>
            <a:rPr lang="pl-PL" b="1"/>
            <a:t>18 000 PLN</a:t>
          </a:r>
        </a:p>
      </dgm:t>
    </dgm:pt>
    <dgm:pt modelId="{4A992DBE-EBBD-4705-839C-77D465FC0D86}" type="parTrans" cxnId="{20EC0A95-8452-4F8C-9FD0-A26DF8472408}">
      <dgm:prSet/>
      <dgm:spPr/>
      <dgm:t>
        <a:bodyPr/>
        <a:lstStyle/>
        <a:p>
          <a:endParaRPr lang="pl-PL"/>
        </a:p>
      </dgm:t>
    </dgm:pt>
    <dgm:pt modelId="{C8C7C296-9E52-4CC8-89E5-C06AAF0E6578}" type="sibTrans" cxnId="{20EC0A95-8452-4F8C-9FD0-A26DF8472408}">
      <dgm:prSet/>
      <dgm:spPr/>
      <dgm:t>
        <a:bodyPr/>
        <a:lstStyle/>
        <a:p>
          <a:endParaRPr lang="pl-PL"/>
        </a:p>
      </dgm:t>
    </dgm:pt>
    <dgm:pt modelId="{3AB6124F-A7D3-4E69-BD7D-1A4DF2950014}">
      <dgm:prSet phldrT="[Tekst]"/>
      <dgm:spPr/>
      <dgm:t>
        <a:bodyPr/>
        <a:lstStyle/>
        <a:p>
          <a:r>
            <a:rPr lang="pl-PL"/>
            <a:t>Usługi</a:t>
          </a:r>
          <a:br>
            <a:rPr lang="pl-PL"/>
          </a:br>
          <a:r>
            <a:rPr lang="pl-PL" b="1"/>
            <a:t>16 250 PLN</a:t>
          </a:r>
        </a:p>
      </dgm:t>
    </dgm:pt>
    <dgm:pt modelId="{32737DEF-085D-469F-88DF-454ADB693653}" type="parTrans" cxnId="{E48C8DC4-6FF5-4C5E-9F1F-16763F43A035}">
      <dgm:prSet/>
      <dgm:spPr/>
      <dgm:t>
        <a:bodyPr/>
        <a:lstStyle/>
        <a:p>
          <a:endParaRPr lang="pl-PL"/>
        </a:p>
      </dgm:t>
    </dgm:pt>
    <dgm:pt modelId="{7E311635-DFA5-41F9-AEF4-DB94CB37167A}" type="sibTrans" cxnId="{E48C8DC4-6FF5-4C5E-9F1F-16763F43A035}">
      <dgm:prSet/>
      <dgm:spPr/>
      <dgm:t>
        <a:bodyPr/>
        <a:lstStyle/>
        <a:p>
          <a:endParaRPr lang="pl-PL"/>
        </a:p>
      </dgm:t>
    </dgm:pt>
    <dgm:pt modelId="{EF45B38A-1F0B-4A88-9757-8396BA635EC1}" type="pres">
      <dgm:prSet presAssocID="{A7429DAC-9844-4787-8CB4-FFFADD0DA8B4}" presName="Name0" presStyleCnt="0">
        <dgm:presLayoutVars>
          <dgm:chMax val="7"/>
          <dgm:chPref val="7"/>
          <dgm:dir/>
          <dgm:animLvl val="lvl"/>
        </dgm:presLayoutVars>
      </dgm:prSet>
      <dgm:spPr/>
      <dgm:t>
        <a:bodyPr/>
        <a:lstStyle/>
        <a:p>
          <a:endParaRPr lang="pl-PL"/>
        </a:p>
      </dgm:t>
    </dgm:pt>
    <dgm:pt modelId="{3BCF1DA2-F331-43A4-B238-1B1E70E40377}" type="pres">
      <dgm:prSet presAssocID="{9BC5F427-82C6-4BB2-85AB-3209D23E1DF8}" presName="Accent1" presStyleCnt="0"/>
      <dgm:spPr/>
    </dgm:pt>
    <dgm:pt modelId="{9C7E2242-75D2-4A73-9788-FD954F627CC1}" type="pres">
      <dgm:prSet presAssocID="{9BC5F427-82C6-4BB2-85AB-3209D23E1DF8}" presName="Accent" presStyleLbl="node1" presStyleIdx="0" presStyleCnt="3"/>
      <dgm:spPr/>
    </dgm:pt>
    <dgm:pt modelId="{869A35F9-3E48-4664-A681-BF26180DC3A0}" type="pres">
      <dgm:prSet presAssocID="{9BC5F427-82C6-4BB2-85AB-3209D23E1DF8}" presName="Parent1" presStyleLbl="revTx" presStyleIdx="0" presStyleCnt="3">
        <dgm:presLayoutVars>
          <dgm:chMax val="1"/>
          <dgm:chPref val="1"/>
          <dgm:bulletEnabled val="1"/>
        </dgm:presLayoutVars>
      </dgm:prSet>
      <dgm:spPr/>
      <dgm:t>
        <a:bodyPr/>
        <a:lstStyle/>
        <a:p>
          <a:endParaRPr lang="pl-PL"/>
        </a:p>
      </dgm:t>
    </dgm:pt>
    <dgm:pt modelId="{17063C5F-6129-4178-972E-1516CEF81DE9}" type="pres">
      <dgm:prSet presAssocID="{CD7BDF51-F0CC-48DD-8219-3FE4302896F4}" presName="Accent2" presStyleCnt="0"/>
      <dgm:spPr/>
    </dgm:pt>
    <dgm:pt modelId="{33E0C97C-B97B-4627-9580-6DC676B987FD}" type="pres">
      <dgm:prSet presAssocID="{CD7BDF51-F0CC-48DD-8219-3FE4302896F4}" presName="Accent" presStyleLbl="node1" presStyleIdx="1" presStyleCnt="3"/>
      <dgm:spPr>
        <a:solidFill>
          <a:schemeClr val="accent6">
            <a:lumMod val="75000"/>
          </a:schemeClr>
        </a:solidFill>
      </dgm:spPr>
    </dgm:pt>
    <dgm:pt modelId="{A18ACC04-6D4D-4A38-A0F6-C5CE7B078BBC}" type="pres">
      <dgm:prSet presAssocID="{CD7BDF51-F0CC-48DD-8219-3FE4302896F4}" presName="Parent2" presStyleLbl="revTx" presStyleIdx="1" presStyleCnt="3">
        <dgm:presLayoutVars>
          <dgm:chMax val="1"/>
          <dgm:chPref val="1"/>
          <dgm:bulletEnabled val="1"/>
        </dgm:presLayoutVars>
      </dgm:prSet>
      <dgm:spPr/>
      <dgm:t>
        <a:bodyPr/>
        <a:lstStyle/>
        <a:p>
          <a:endParaRPr lang="pl-PL"/>
        </a:p>
      </dgm:t>
    </dgm:pt>
    <dgm:pt modelId="{87B2A9FB-DAB8-4B53-9C93-34C3C2CB7AEC}" type="pres">
      <dgm:prSet presAssocID="{3AB6124F-A7D3-4E69-BD7D-1A4DF2950014}" presName="Accent3" presStyleCnt="0"/>
      <dgm:spPr/>
    </dgm:pt>
    <dgm:pt modelId="{9A4BC255-19E6-4CB4-962A-CC5F6BFA3386}" type="pres">
      <dgm:prSet presAssocID="{3AB6124F-A7D3-4E69-BD7D-1A4DF2950014}" presName="Accent" presStyleLbl="node1" presStyleIdx="2" presStyleCnt="3"/>
      <dgm:spPr>
        <a:solidFill>
          <a:srgbClr val="7030A0"/>
        </a:solidFill>
      </dgm:spPr>
    </dgm:pt>
    <dgm:pt modelId="{5F31FF67-2F81-4804-BA2D-01DCEFE21E40}" type="pres">
      <dgm:prSet presAssocID="{3AB6124F-A7D3-4E69-BD7D-1A4DF2950014}" presName="Parent3" presStyleLbl="revTx" presStyleIdx="2" presStyleCnt="3">
        <dgm:presLayoutVars>
          <dgm:chMax val="1"/>
          <dgm:chPref val="1"/>
          <dgm:bulletEnabled val="1"/>
        </dgm:presLayoutVars>
      </dgm:prSet>
      <dgm:spPr/>
      <dgm:t>
        <a:bodyPr/>
        <a:lstStyle/>
        <a:p>
          <a:endParaRPr lang="pl-PL"/>
        </a:p>
      </dgm:t>
    </dgm:pt>
  </dgm:ptLst>
  <dgm:cxnLst>
    <dgm:cxn modelId="{378D7D93-E30B-4D85-9548-296DE6695FE6}" type="presOf" srcId="{9BC5F427-82C6-4BB2-85AB-3209D23E1DF8}" destId="{869A35F9-3E48-4664-A681-BF26180DC3A0}" srcOrd="0" destOrd="0" presId="urn:microsoft.com/office/officeart/2009/layout/CircleArrowProcess"/>
    <dgm:cxn modelId="{A2D4E095-59CD-4E2D-9A64-089EDF9C1692}" type="presOf" srcId="{3AB6124F-A7D3-4E69-BD7D-1A4DF2950014}" destId="{5F31FF67-2F81-4804-BA2D-01DCEFE21E40}" srcOrd="0" destOrd="0" presId="urn:microsoft.com/office/officeart/2009/layout/CircleArrowProcess"/>
    <dgm:cxn modelId="{E48C8DC4-6FF5-4C5E-9F1F-16763F43A035}" srcId="{A7429DAC-9844-4787-8CB4-FFFADD0DA8B4}" destId="{3AB6124F-A7D3-4E69-BD7D-1A4DF2950014}" srcOrd="2" destOrd="0" parTransId="{32737DEF-085D-469F-88DF-454ADB693653}" sibTransId="{7E311635-DFA5-41F9-AEF4-DB94CB37167A}"/>
    <dgm:cxn modelId="{8022DD76-5408-4067-801F-844A1DEA0DDC}" srcId="{A7429DAC-9844-4787-8CB4-FFFADD0DA8B4}" destId="{9BC5F427-82C6-4BB2-85AB-3209D23E1DF8}" srcOrd="0" destOrd="0" parTransId="{B4CB2E9B-9D78-4A1A-ADCA-45022EEBB121}" sibTransId="{3E2829C0-7B06-4143-81E3-CCD134501418}"/>
    <dgm:cxn modelId="{19251A22-EF6C-4FF1-A292-A5A7763DE7D3}" type="presOf" srcId="{A7429DAC-9844-4787-8CB4-FFFADD0DA8B4}" destId="{EF45B38A-1F0B-4A88-9757-8396BA635EC1}" srcOrd="0" destOrd="0" presId="urn:microsoft.com/office/officeart/2009/layout/CircleArrowProcess"/>
    <dgm:cxn modelId="{7BD6EF17-B7EF-4559-A57F-D24A5B43AC28}" type="presOf" srcId="{CD7BDF51-F0CC-48DD-8219-3FE4302896F4}" destId="{A18ACC04-6D4D-4A38-A0F6-C5CE7B078BBC}" srcOrd="0" destOrd="0" presId="urn:microsoft.com/office/officeart/2009/layout/CircleArrowProcess"/>
    <dgm:cxn modelId="{20EC0A95-8452-4F8C-9FD0-A26DF8472408}" srcId="{A7429DAC-9844-4787-8CB4-FFFADD0DA8B4}" destId="{CD7BDF51-F0CC-48DD-8219-3FE4302896F4}" srcOrd="1" destOrd="0" parTransId="{4A992DBE-EBBD-4705-839C-77D465FC0D86}" sibTransId="{C8C7C296-9E52-4CC8-89E5-C06AAF0E6578}"/>
    <dgm:cxn modelId="{150104BE-EB45-4D21-8C41-25B947E08C8A}" type="presParOf" srcId="{EF45B38A-1F0B-4A88-9757-8396BA635EC1}" destId="{3BCF1DA2-F331-43A4-B238-1B1E70E40377}" srcOrd="0" destOrd="0" presId="urn:microsoft.com/office/officeart/2009/layout/CircleArrowProcess"/>
    <dgm:cxn modelId="{157691B4-F35F-48A8-9AF9-7B8317AE6A2A}" type="presParOf" srcId="{3BCF1DA2-F331-43A4-B238-1B1E70E40377}" destId="{9C7E2242-75D2-4A73-9788-FD954F627CC1}" srcOrd="0" destOrd="0" presId="urn:microsoft.com/office/officeart/2009/layout/CircleArrowProcess"/>
    <dgm:cxn modelId="{6EA91F69-DB01-4019-A493-BB24FFDB8811}" type="presParOf" srcId="{EF45B38A-1F0B-4A88-9757-8396BA635EC1}" destId="{869A35F9-3E48-4664-A681-BF26180DC3A0}" srcOrd="1" destOrd="0" presId="urn:microsoft.com/office/officeart/2009/layout/CircleArrowProcess"/>
    <dgm:cxn modelId="{726C98B4-71DC-4041-9A24-BB9BA4A3E714}" type="presParOf" srcId="{EF45B38A-1F0B-4A88-9757-8396BA635EC1}" destId="{17063C5F-6129-4178-972E-1516CEF81DE9}" srcOrd="2" destOrd="0" presId="urn:microsoft.com/office/officeart/2009/layout/CircleArrowProcess"/>
    <dgm:cxn modelId="{AB90F53F-39F3-4EE1-BDA6-3B977C888B59}" type="presParOf" srcId="{17063C5F-6129-4178-972E-1516CEF81DE9}" destId="{33E0C97C-B97B-4627-9580-6DC676B987FD}" srcOrd="0" destOrd="0" presId="urn:microsoft.com/office/officeart/2009/layout/CircleArrowProcess"/>
    <dgm:cxn modelId="{66646E3A-0376-4A0D-B305-EBA080A1C543}" type="presParOf" srcId="{EF45B38A-1F0B-4A88-9757-8396BA635EC1}" destId="{A18ACC04-6D4D-4A38-A0F6-C5CE7B078BBC}" srcOrd="3" destOrd="0" presId="urn:microsoft.com/office/officeart/2009/layout/CircleArrowProcess"/>
    <dgm:cxn modelId="{9B507CF0-9787-4215-9AD8-E644963AC294}" type="presParOf" srcId="{EF45B38A-1F0B-4A88-9757-8396BA635EC1}" destId="{87B2A9FB-DAB8-4B53-9C93-34C3C2CB7AEC}" srcOrd="4" destOrd="0" presId="urn:microsoft.com/office/officeart/2009/layout/CircleArrowProcess"/>
    <dgm:cxn modelId="{41F467E3-8971-4903-AEA8-DD3C15408212}" type="presParOf" srcId="{87B2A9FB-DAB8-4B53-9C93-34C3C2CB7AEC}" destId="{9A4BC255-19E6-4CB4-962A-CC5F6BFA3386}" srcOrd="0" destOrd="0" presId="urn:microsoft.com/office/officeart/2009/layout/CircleArrowProcess"/>
    <dgm:cxn modelId="{CD45A0A8-3337-4D4F-82B4-003CA7D6D0E6}" type="presParOf" srcId="{EF45B38A-1F0B-4A88-9757-8396BA635EC1}" destId="{5F31FF67-2F81-4804-BA2D-01DCEFE21E40}" srcOrd="5" destOrd="0" presId="urn:microsoft.com/office/officeart/2009/layout/CircleArrowProcess"/>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7E2242-75D2-4A73-9788-FD954F627CC1}">
      <dsp:nvSpPr>
        <dsp:cNvPr id="0" name=""/>
        <dsp:cNvSpPr/>
      </dsp:nvSpPr>
      <dsp:spPr>
        <a:xfrm>
          <a:off x="2186906" y="0"/>
          <a:ext cx="1540438" cy="1540672"/>
        </a:xfrm>
        <a:prstGeom prst="circularArrow">
          <a:avLst>
            <a:gd name="adj1" fmla="val 10980"/>
            <a:gd name="adj2" fmla="val 1142322"/>
            <a:gd name="adj3" fmla="val 4500000"/>
            <a:gd name="adj4" fmla="val 10800000"/>
            <a:gd name="adj5" fmla="val 125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69A35F9-3E48-4664-A681-BF26180DC3A0}">
      <dsp:nvSpPr>
        <dsp:cNvPr id="0" name=""/>
        <dsp:cNvSpPr/>
      </dsp:nvSpPr>
      <dsp:spPr>
        <a:xfrm>
          <a:off x="2527394" y="556229"/>
          <a:ext cx="855991" cy="4278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pl-PL" sz="1400" kern="1200"/>
            <a:t>Media</a:t>
          </a:r>
          <a:br>
            <a:rPr lang="pl-PL" sz="1400" kern="1200"/>
          </a:br>
          <a:r>
            <a:rPr lang="pl-PL" sz="1400" b="1" kern="1200"/>
            <a:t>20 000 PLN</a:t>
          </a:r>
        </a:p>
      </dsp:txBody>
      <dsp:txXfrm>
        <a:off x="2527394" y="556229"/>
        <a:ext cx="855991" cy="427893"/>
      </dsp:txXfrm>
    </dsp:sp>
    <dsp:sp modelId="{33E0C97C-B97B-4627-9580-6DC676B987FD}">
      <dsp:nvSpPr>
        <dsp:cNvPr id="0" name=""/>
        <dsp:cNvSpPr/>
      </dsp:nvSpPr>
      <dsp:spPr>
        <a:xfrm>
          <a:off x="1759055" y="885230"/>
          <a:ext cx="1540438" cy="1540672"/>
        </a:xfrm>
        <a:prstGeom prst="leftCircularArrow">
          <a:avLst>
            <a:gd name="adj1" fmla="val 10980"/>
            <a:gd name="adj2" fmla="val 1142322"/>
            <a:gd name="adj3" fmla="val 6300000"/>
            <a:gd name="adj4" fmla="val 18900000"/>
            <a:gd name="adj5" fmla="val 125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8ACC04-6D4D-4A38-A0F6-C5CE7B078BBC}">
      <dsp:nvSpPr>
        <dsp:cNvPr id="0" name=""/>
        <dsp:cNvSpPr/>
      </dsp:nvSpPr>
      <dsp:spPr>
        <a:xfrm>
          <a:off x="2101278" y="1446580"/>
          <a:ext cx="855991" cy="4278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pl-PL" sz="1400" kern="1200"/>
            <a:t>Finanse </a:t>
          </a:r>
          <a:br>
            <a:rPr lang="pl-PL" sz="1400" kern="1200"/>
          </a:br>
          <a:r>
            <a:rPr lang="pl-PL" sz="1400" b="1" kern="1200"/>
            <a:t>18 000 PLN</a:t>
          </a:r>
        </a:p>
      </dsp:txBody>
      <dsp:txXfrm>
        <a:off x="2101278" y="1446580"/>
        <a:ext cx="855991" cy="427893"/>
      </dsp:txXfrm>
    </dsp:sp>
    <dsp:sp modelId="{9A4BC255-19E6-4CB4-962A-CC5F6BFA3386}">
      <dsp:nvSpPr>
        <dsp:cNvPr id="0" name=""/>
        <dsp:cNvSpPr/>
      </dsp:nvSpPr>
      <dsp:spPr>
        <a:xfrm>
          <a:off x="2296545" y="1876394"/>
          <a:ext cx="1323475" cy="1324005"/>
        </a:xfrm>
        <a:prstGeom prst="blockArc">
          <a:avLst>
            <a:gd name="adj1" fmla="val 13500000"/>
            <a:gd name="adj2" fmla="val 10800000"/>
            <a:gd name="adj3" fmla="val 1274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F31FF67-2F81-4804-BA2D-01DCEFE21E40}">
      <dsp:nvSpPr>
        <dsp:cNvPr id="0" name=""/>
        <dsp:cNvSpPr/>
      </dsp:nvSpPr>
      <dsp:spPr>
        <a:xfrm>
          <a:off x="2529419" y="2338212"/>
          <a:ext cx="855991" cy="4278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pl-PL" sz="1400" kern="1200"/>
            <a:t>Usługi</a:t>
          </a:r>
          <a:br>
            <a:rPr lang="pl-PL" sz="1400" kern="1200"/>
          </a:br>
          <a:r>
            <a:rPr lang="pl-PL" sz="1400" b="1" kern="1200"/>
            <a:t>16 250 PLN</a:t>
          </a:r>
        </a:p>
      </dsp:txBody>
      <dsp:txXfrm>
        <a:off x="2529419" y="2338212"/>
        <a:ext cx="855991" cy="42789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0.90448</cdr:x>
      <cdr:y>0.7477</cdr:y>
    </cdr:from>
    <cdr:to>
      <cdr:x>0.94483</cdr:x>
      <cdr:y>0.94709</cdr:y>
    </cdr:to>
    <cdr:sp macro="" textlink="">
      <cdr:nvSpPr>
        <cdr:cNvPr id="2" name="Pole tekstowe 1"/>
        <cdr:cNvSpPr txBox="1"/>
      </cdr:nvSpPr>
      <cdr:spPr>
        <a:xfrm xmlns:a="http://schemas.openxmlformats.org/drawingml/2006/main" rot="18797855">
          <a:off x="4648693" y="3048001"/>
          <a:ext cx="742950" cy="219075"/>
        </a:xfrm>
        <a:prstGeom xmlns:a="http://schemas.openxmlformats.org/drawingml/2006/main" prst="rect">
          <a:avLst/>
        </a:prstGeom>
        <a:noFill xmlns:a="http://schemas.openxmlformats.org/drawingml/2006/main"/>
      </cdr:spPr>
      <cdr:txBody>
        <a:bodyPr xmlns:a="http://schemas.openxmlformats.org/drawingml/2006/main" vertOverflow="clip" wrap="square" rtlCol="0"/>
        <a:lstStyle xmlns:a="http://schemas.openxmlformats.org/drawingml/2006/main"/>
        <a:p xmlns:a="http://schemas.openxmlformats.org/drawingml/2006/main">
          <a:r>
            <a:rPr lang="pl-PL" sz="1000"/>
            <a:t>&gt; 400 000</a:t>
          </a:r>
        </a:p>
      </cdr:txBody>
    </cdr: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32067-7F9F-463F-B506-DEDB0B4A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1290</Words>
  <Characters>7745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9017</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Konrad Akowacz</cp:lastModifiedBy>
  <cp:revision>3</cp:revision>
  <cp:lastPrinted>2016-09-06T13:42:00Z</cp:lastPrinted>
  <dcterms:created xsi:type="dcterms:W3CDTF">2016-09-06T13:42:00Z</dcterms:created>
  <dcterms:modified xsi:type="dcterms:W3CDTF">2016-09-06T13:44:00Z</dcterms:modified>
</cp:coreProperties>
</file>